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9318" w14:textId="1E07E194" w:rsidR="00C37ADA" w:rsidRDefault="00C37ADA" w:rsidP="00C37ADA">
      <w:r>
        <w:rPr>
          <w:noProof/>
          <w:lang w:eastAsia="en-GB"/>
        </w:rPr>
        <w:drawing>
          <wp:inline distT="0" distB="0" distL="0" distR="0" wp14:anchorId="2F65A6EF" wp14:editId="69C1F331">
            <wp:extent cx="2007618" cy="48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53" cy="49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5221B1D8" w:rsidR="00F73429" w:rsidRDefault="492F1B04" w:rsidP="725D2CC8">
      <w:pPr>
        <w:pStyle w:val="Heading1"/>
        <w:rPr>
          <w:rFonts w:ascii="Calibri Light" w:hAnsi="Calibri Light"/>
        </w:rPr>
      </w:pPr>
      <w:r w:rsidRPr="09323C9F">
        <w:rPr>
          <w:rFonts w:ascii="Calibri Light" w:hAnsi="Calibri Light"/>
        </w:rPr>
        <w:t xml:space="preserve">Payment of Examiners – Guidance </w:t>
      </w:r>
      <w:r w:rsidR="26A590D6" w:rsidRPr="09323C9F">
        <w:rPr>
          <w:rFonts w:ascii="Calibri Light" w:hAnsi="Calibri Light"/>
        </w:rPr>
        <w:t xml:space="preserve">on </w:t>
      </w:r>
      <w:r w:rsidR="005059C9">
        <w:rPr>
          <w:rFonts w:ascii="Calibri Light" w:hAnsi="Calibri Light"/>
        </w:rPr>
        <w:t xml:space="preserve">fee </w:t>
      </w:r>
      <w:r w:rsidR="26A590D6" w:rsidRPr="09323C9F">
        <w:rPr>
          <w:rFonts w:ascii="Calibri Light" w:hAnsi="Calibri Light"/>
        </w:rPr>
        <w:t>rate</w:t>
      </w:r>
      <w:r w:rsidR="2E627673" w:rsidRPr="09323C9F">
        <w:rPr>
          <w:rFonts w:ascii="Calibri Light" w:hAnsi="Calibri Light"/>
        </w:rPr>
        <w:t>s</w:t>
      </w:r>
      <w:r w:rsidR="26A590D6" w:rsidRPr="09323C9F">
        <w:rPr>
          <w:rFonts w:ascii="Calibri Light" w:hAnsi="Calibri Light"/>
        </w:rPr>
        <w:t xml:space="preserve"> (</w:t>
      </w:r>
      <w:r w:rsidR="0655802E" w:rsidRPr="09323C9F">
        <w:rPr>
          <w:rFonts w:ascii="Calibri Light" w:hAnsi="Calibri Light"/>
        </w:rPr>
        <w:t xml:space="preserve">from </w:t>
      </w:r>
      <w:r w:rsidR="26A590D6" w:rsidRPr="09323C9F">
        <w:rPr>
          <w:rFonts w:ascii="Calibri Light" w:hAnsi="Calibri Light"/>
        </w:rPr>
        <w:t>Oct</w:t>
      </w:r>
      <w:r w:rsidR="3DD08CCF" w:rsidRPr="09323C9F">
        <w:rPr>
          <w:rFonts w:ascii="Calibri Light" w:hAnsi="Calibri Light"/>
        </w:rPr>
        <w:t>20</w:t>
      </w:r>
      <w:r w:rsidR="26A590D6" w:rsidRPr="09323C9F">
        <w:rPr>
          <w:rFonts w:ascii="Calibri Light" w:hAnsi="Calibri Light"/>
        </w:rPr>
        <w:t>21)</w:t>
      </w:r>
    </w:p>
    <w:p w14:paraId="27DED3E4" w14:textId="541DDC5D" w:rsidR="725D2CC8" w:rsidRDefault="725D2CC8" w:rsidP="725D2CC8"/>
    <w:p w14:paraId="523BAD65" w14:textId="5B6372A8" w:rsidR="08D5A61E" w:rsidRDefault="08D5A61E" w:rsidP="725D2CC8">
      <w:pPr>
        <w:pStyle w:val="Heading2"/>
        <w:rPr>
          <w:rFonts w:ascii="Calibri Light" w:hAnsi="Calibri Light"/>
        </w:rPr>
      </w:pPr>
      <w:r>
        <w:t>Principle</w:t>
      </w:r>
    </w:p>
    <w:p w14:paraId="1FEEB418" w14:textId="0CBEFF74" w:rsidR="72D35E5A" w:rsidRDefault="72D35E5A" w:rsidP="65303640">
      <w:r>
        <w:t>Payment</w:t>
      </w:r>
      <w:r w:rsidR="4DE83416">
        <w:t>s</w:t>
      </w:r>
      <w:r>
        <w:t xml:space="preserve"> to Examiners </w:t>
      </w:r>
      <w:r w:rsidR="7A94E5B1">
        <w:t>is</w:t>
      </w:r>
      <w:r>
        <w:t xml:space="preserve"> based </w:t>
      </w:r>
      <w:r w:rsidR="4884D2D0">
        <w:t>upo</w:t>
      </w:r>
      <w:r>
        <w:t>n</w:t>
      </w:r>
      <w:r w:rsidR="4884D2D0">
        <w:t xml:space="preserve"> an</w:t>
      </w:r>
      <w:r>
        <w:t xml:space="preserve"> hourly rate</w:t>
      </w:r>
      <w:r w:rsidR="15656FFD">
        <w:t xml:space="preserve"> against the </w:t>
      </w:r>
      <w:hyperlink r:id="rId12">
        <w:r w:rsidR="0158F836" w:rsidRPr="08C32D96">
          <w:rPr>
            <w:rStyle w:val="Hyperlink"/>
          </w:rPr>
          <w:t>S</w:t>
        </w:r>
        <w:r w:rsidR="15656FFD" w:rsidRPr="08C32D96">
          <w:rPr>
            <w:rStyle w:val="Hyperlink"/>
          </w:rPr>
          <w:t xml:space="preserve">ingle </w:t>
        </w:r>
        <w:r w:rsidR="30A632DD" w:rsidRPr="08C32D96">
          <w:rPr>
            <w:rStyle w:val="Hyperlink"/>
          </w:rPr>
          <w:t>Salary S</w:t>
        </w:r>
        <w:r w:rsidR="15656FFD" w:rsidRPr="08C32D96">
          <w:rPr>
            <w:rStyle w:val="Hyperlink"/>
          </w:rPr>
          <w:t>pine</w:t>
        </w:r>
      </w:hyperlink>
      <w:r w:rsidR="08D5A61E">
        <w:t xml:space="preserve">. </w:t>
      </w:r>
      <w:r w:rsidR="273147F5">
        <w:t xml:space="preserve">The payment includes preparation time and the time taken to mark various categories of work. </w:t>
      </w:r>
    </w:p>
    <w:p w14:paraId="1EE3EC8C" w14:textId="17268574" w:rsidR="08D5A61E" w:rsidRDefault="08D5A61E" w:rsidP="725D2CC8">
      <w:pPr>
        <w:pStyle w:val="Heading2"/>
        <w:rPr>
          <w:rFonts w:ascii="Calibri Light" w:hAnsi="Calibri Light"/>
        </w:rPr>
      </w:pPr>
      <w:r>
        <w:t>Scope</w:t>
      </w:r>
    </w:p>
    <w:p w14:paraId="3EB7C91D" w14:textId="37D02168" w:rsidR="08D5A61E" w:rsidRDefault="08D5A61E" w:rsidP="725D2CC8">
      <w:r>
        <w:t>This guidance covers the payment rate</w:t>
      </w:r>
      <w:r w:rsidR="217A7B59">
        <w:t>s</w:t>
      </w:r>
      <w:r>
        <w:t xml:space="preserve"> </w:t>
      </w:r>
      <w:r w:rsidR="358742C9">
        <w:t>for</w:t>
      </w:r>
      <w:r>
        <w:t xml:space="preserve"> the following</w:t>
      </w:r>
      <w:r w:rsidR="07FCCE1F">
        <w:t xml:space="preserve"> types of examination: </w:t>
      </w:r>
    </w:p>
    <w:p w14:paraId="523903D5" w14:textId="29E12F89" w:rsidR="08D5A61E" w:rsidRDefault="08D5A61E" w:rsidP="725D2CC8">
      <w:r>
        <w:t>Undergraduate</w:t>
      </w:r>
      <w:r w:rsidR="00C069F8">
        <w:t xml:space="preserve"> </w:t>
      </w:r>
      <w:r w:rsidR="6C12CF29">
        <w:t xml:space="preserve">(Lower) </w:t>
      </w:r>
      <w:r w:rsidR="00C069F8">
        <w:t>Examinations</w:t>
      </w:r>
      <w:r>
        <w:t>:</w:t>
      </w:r>
    </w:p>
    <w:p w14:paraId="4FE6BE63" w14:textId="4BCFB331" w:rsidR="08D5A61E" w:rsidRDefault="08D5A61E" w:rsidP="006421E8">
      <w:pPr>
        <w:pStyle w:val="ListParagraph"/>
        <w:numPr>
          <w:ilvl w:val="0"/>
          <w:numId w:val="1"/>
        </w:numPr>
      </w:pPr>
      <w:r>
        <w:t>External Examiners</w:t>
      </w:r>
    </w:p>
    <w:p w14:paraId="3B01646D" w14:textId="34E71C9D" w:rsidR="08D5A61E" w:rsidRDefault="08D5A61E" w:rsidP="006421E8">
      <w:pPr>
        <w:pStyle w:val="ListParagraph"/>
        <w:numPr>
          <w:ilvl w:val="0"/>
          <w:numId w:val="1"/>
        </w:numPr>
      </w:pPr>
      <w:r>
        <w:t xml:space="preserve">Examiners </w:t>
      </w:r>
      <w:r w:rsidR="63110B7D">
        <w:t>responsible</w:t>
      </w:r>
      <w:r>
        <w:t xml:space="preserve"> for setting a paper</w:t>
      </w:r>
    </w:p>
    <w:p w14:paraId="21417C3E" w14:textId="49FD3DCA" w:rsidR="00C069F8" w:rsidRDefault="00C069F8" w:rsidP="006421E8">
      <w:pPr>
        <w:pStyle w:val="ListParagraph"/>
        <w:numPr>
          <w:ilvl w:val="0"/>
          <w:numId w:val="1"/>
        </w:numPr>
      </w:pPr>
      <w:r>
        <w:t xml:space="preserve">Examiners not responsible for setting a paper </w:t>
      </w:r>
    </w:p>
    <w:p w14:paraId="133844B4" w14:textId="5F01571C" w:rsidR="00C069F8" w:rsidRDefault="00C069F8" w:rsidP="006421E8">
      <w:pPr>
        <w:pStyle w:val="ListParagraph"/>
        <w:numPr>
          <w:ilvl w:val="0"/>
          <w:numId w:val="1"/>
        </w:numPr>
      </w:pPr>
      <w:r>
        <w:t xml:space="preserve">Assessors </w:t>
      </w:r>
    </w:p>
    <w:p w14:paraId="0AE88021" w14:textId="2A58BCD4" w:rsidR="00C069F8" w:rsidRDefault="00C069F8" w:rsidP="00C069F8">
      <w:r>
        <w:t>Postgraduate Taught Examinations</w:t>
      </w:r>
    </w:p>
    <w:p w14:paraId="23645CF2" w14:textId="77777777" w:rsidR="009B56CD" w:rsidRDefault="009B56CD" w:rsidP="009B56CD">
      <w:pPr>
        <w:pStyle w:val="ListParagraph"/>
        <w:numPr>
          <w:ilvl w:val="0"/>
          <w:numId w:val="1"/>
        </w:numPr>
      </w:pPr>
      <w:r>
        <w:t>External Examiners</w:t>
      </w:r>
    </w:p>
    <w:p w14:paraId="5C4E6869" w14:textId="77777777" w:rsidR="009B56CD" w:rsidRDefault="009B56CD" w:rsidP="009B56CD">
      <w:pPr>
        <w:pStyle w:val="ListParagraph"/>
        <w:numPr>
          <w:ilvl w:val="0"/>
          <w:numId w:val="1"/>
        </w:numPr>
      </w:pPr>
      <w:r>
        <w:t>Examiners responsible for setting a paper</w:t>
      </w:r>
    </w:p>
    <w:p w14:paraId="47085C56" w14:textId="77777777" w:rsidR="009B56CD" w:rsidRDefault="009B56CD" w:rsidP="009B56CD">
      <w:pPr>
        <w:pStyle w:val="ListParagraph"/>
        <w:numPr>
          <w:ilvl w:val="0"/>
          <w:numId w:val="1"/>
        </w:numPr>
      </w:pPr>
      <w:r>
        <w:t xml:space="preserve">Examiners not responsible for setting a paper </w:t>
      </w:r>
    </w:p>
    <w:p w14:paraId="08695A56" w14:textId="423AC082" w:rsidR="00C069F8" w:rsidRDefault="009B56CD" w:rsidP="00C069F8">
      <w:pPr>
        <w:pStyle w:val="ListParagraph"/>
        <w:numPr>
          <w:ilvl w:val="0"/>
          <w:numId w:val="1"/>
        </w:numPr>
      </w:pPr>
      <w:r>
        <w:t xml:space="preserve">Assessors </w:t>
      </w:r>
    </w:p>
    <w:p w14:paraId="39258FB8" w14:textId="60FC8F56" w:rsidR="00C069F8" w:rsidRDefault="00C069F8" w:rsidP="00C069F8">
      <w:r>
        <w:t xml:space="preserve">Postgraduate </w:t>
      </w:r>
      <w:r w:rsidR="009B56CD">
        <w:t xml:space="preserve">Research </w:t>
      </w:r>
      <w:r w:rsidR="000F482B">
        <w:t>and Higher Degree</w:t>
      </w:r>
      <w:r w:rsidR="44562AFE">
        <w:t xml:space="preserve"> </w:t>
      </w:r>
      <w:r w:rsidR="009B56CD">
        <w:t>Examinations</w:t>
      </w:r>
    </w:p>
    <w:p w14:paraId="5FB2B036" w14:textId="77777777" w:rsidR="00B44CC7" w:rsidRDefault="00B44CC7" w:rsidP="00B44CC7">
      <w:pPr>
        <w:pStyle w:val="ListParagraph"/>
        <w:numPr>
          <w:ilvl w:val="0"/>
          <w:numId w:val="2"/>
        </w:numPr>
      </w:pPr>
      <w:r>
        <w:t>Progress examination</w:t>
      </w:r>
    </w:p>
    <w:p w14:paraId="651EE6B3" w14:textId="77777777" w:rsidR="00B44CC7" w:rsidRDefault="00B44CC7" w:rsidP="00B44CC7">
      <w:pPr>
        <w:pStyle w:val="ListParagraph"/>
        <w:numPr>
          <w:ilvl w:val="0"/>
          <w:numId w:val="2"/>
        </w:numPr>
      </w:pPr>
      <w:r>
        <w:t>PhD, MSc, MLitt with oral</w:t>
      </w:r>
    </w:p>
    <w:p w14:paraId="6D854E1F" w14:textId="77777777" w:rsidR="00B44CC7" w:rsidRDefault="00B44CC7" w:rsidP="00B44CC7">
      <w:pPr>
        <w:pStyle w:val="ListParagraph"/>
        <w:numPr>
          <w:ilvl w:val="0"/>
          <w:numId w:val="2"/>
        </w:numPr>
      </w:pPr>
      <w:r>
        <w:t>PhD, MSc, MLitt without oral</w:t>
      </w:r>
    </w:p>
    <w:p w14:paraId="2E12E716" w14:textId="7D614A97" w:rsidR="00B44CC7" w:rsidRDefault="00B44CC7" w:rsidP="00B44CC7">
      <w:pPr>
        <w:pStyle w:val="ListParagraph"/>
        <w:numPr>
          <w:ilvl w:val="0"/>
          <w:numId w:val="2"/>
        </w:numPr>
      </w:pPr>
      <w:r>
        <w:t xml:space="preserve">MPhil </w:t>
      </w:r>
      <w:r w:rsidR="000F482B">
        <w:t xml:space="preserve">by thesis </w:t>
      </w:r>
      <w:r>
        <w:t>with oral</w:t>
      </w:r>
    </w:p>
    <w:p w14:paraId="228945AD" w14:textId="3C02CEDC" w:rsidR="00C069F8" w:rsidRDefault="00B44CC7" w:rsidP="00C069F8">
      <w:pPr>
        <w:pStyle w:val="ListParagraph"/>
        <w:numPr>
          <w:ilvl w:val="0"/>
          <w:numId w:val="2"/>
        </w:numPr>
      </w:pPr>
      <w:r>
        <w:t xml:space="preserve">MPhil </w:t>
      </w:r>
      <w:r w:rsidR="000F482B">
        <w:t xml:space="preserve">by thesis </w:t>
      </w:r>
      <w:r>
        <w:t>without oral</w:t>
      </w:r>
    </w:p>
    <w:p w14:paraId="592DE55A" w14:textId="107FDB53" w:rsidR="000F482B" w:rsidRDefault="000F482B" w:rsidP="000F482B">
      <w:pPr>
        <w:pStyle w:val="ListParagraph"/>
        <w:numPr>
          <w:ilvl w:val="0"/>
          <w:numId w:val="2"/>
        </w:numPr>
      </w:pPr>
      <w:r>
        <w:t>Higher Degrees - Doctor of Divinity, Doctor of Law, Doctor of Science, Doctor of Letters, Doctor of Music</w:t>
      </w:r>
    </w:p>
    <w:p w14:paraId="67F2A536" w14:textId="3568C5C0" w:rsidR="000F482B" w:rsidRDefault="000F482B" w:rsidP="000F482B">
      <w:pPr>
        <w:pStyle w:val="ListParagraph"/>
        <w:numPr>
          <w:ilvl w:val="0"/>
          <w:numId w:val="2"/>
        </w:numPr>
      </w:pPr>
      <w:r>
        <w:t>Other doctoral degrees - Bachelor of Divinity, Doctor of Philosophy (Special Regulations)</w:t>
      </w:r>
    </w:p>
    <w:p w14:paraId="5037875B" w14:textId="403CBF7F" w:rsidR="0088670F" w:rsidRDefault="0088670F" w:rsidP="000F482B">
      <w:r>
        <w:t xml:space="preserve">For the PG Research examinations, please note some of the examination categories are still under discussions and therefore the </w:t>
      </w:r>
      <w:r w:rsidR="00293418">
        <w:t xml:space="preserve">payment </w:t>
      </w:r>
      <w:r>
        <w:t>rates have remained the same for now</w:t>
      </w:r>
      <w:r w:rsidR="003153C2">
        <w:t xml:space="preserve"> (you will find these on the claim forms)</w:t>
      </w:r>
      <w:r>
        <w:t xml:space="preserve">. </w:t>
      </w:r>
      <w:r w:rsidR="00293418">
        <w:t>If new payment rates are established, this will be communicated to Departments and the guidance and claim forms will be updated.</w:t>
      </w:r>
    </w:p>
    <w:p w14:paraId="29242AD6" w14:textId="7F1234C0" w:rsidR="725D2CC8" w:rsidRDefault="00C069F8" w:rsidP="725D2CC8">
      <w:r>
        <w:t xml:space="preserve">This guidance does not apply to </w:t>
      </w:r>
      <w:r w:rsidR="41ECF7B5">
        <w:t xml:space="preserve">clinically </w:t>
      </w:r>
      <w:r w:rsidR="007E0F52">
        <w:t xml:space="preserve">qualified examiners. </w:t>
      </w:r>
    </w:p>
    <w:p w14:paraId="6818D838" w14:textId="52F7FA0D" w:rsidR="00A52BDB" w:rsidRPr="00A52BDB" w:rsidRDefault="000DA469" w:rsidP="00A52BDB">
      <w:pPr>
        <w:pStyle w:val="Heading2"/>
      </w:pPr>
      <w:r>
        <w:t>Rate</w:t>
      </w:r>
    </w:p>
    <w:p w14:paraId="2DF15BB4" w14:textId="279CA183" w:rsidR="002D43F0" w:rsidRDefault="002D43F0" w:rsidP="65303640">
      <w:r>
        <w:t xml:space="preserve">The rate </w:t>
      </w:r>
      <w:r w:rsidR="00A52BDB">
        <w:t>of pay to</w:t>
      </w:r>
      <w:r>
        <w:t xml:space="preserve"> external examiners</w:t>
      </w:r>
      <w:r w:rsidR="00A52BDB">
        <w:t xml:space="preserve"> </w:t>
      </w:r>
      <w:r w:rsidR="000F482B">
        <w:t xml:space="preserve">(and internal examiners for PG Research and Higher Degrees examinations) </w:t>
      </w:r>
      <w:r w:rsidR="00A52BDB">
        <w:t xml:space="preserve">is the equivalent to point 49 of </w:t>
      </w:r>
      <w:r w:rsidR="7D9C5FD4">
        <w:t>Single Salary Spine</w:t>
      </w:r>
      <w:r w:rsidR="00A52BDB">
        <w:t>.</w:t>
      </w:r>
    </w:p>
    <w:p w14:paraId="29427411" w14:textId="264F2F17" w:rsidR="00A52BDB" w:rsidRDefault="00A52BDB" w:rsidP="65303640">
      <w:r>
        <w:t xml:space="preserve">The rate of pay to all other examiners and assessors is the equivalent to point 45 of the </w:t>
      </w:r>
      <w:r w:rsidR="48D2AC58">
        <w:t>Single Salary Spine</w:t>
      </w:r>
      <w:r>
        <w:t xml:space="preserve">. </w:t>
      </w:r>
      <w:bookmarkStart w:id="0" w:name="_GoBack"/>
      <w:bookmarkEnd w:id="0"/>
    </w:p>
    <w:p w14:paraId="2317B03D" w14:textId="77777777" w:rsidR="000F482B" w:rsidRDefault="000F482B" w:rsidP="002D43F0">
      <w:pPr>
        <w:pStyle w:val="Heading2"/>
      </w:pPr>
    </w:p>
    <w:p w14:paraId="259E9CF6" w14:textId="3EECF249" w:rsidR="002D43F0" w:rsidRDefault="00A52BDB" w:rsidP="002D43F0">
      <w:pPr>
        <w:pStyle w:val="Heading2"/>
      </w:pPr>
      <w:r>
        <w:t>Time worked</w:t>
      </w:r>
    </w:p>
    <w:p w14:paraId="65193582" w14:textId="04B884B0" w:rsidR="00A52BDB" w:rsidRPr="00A52BDB" w:rsidRDefault="56C10C76" w:rsidP="65303640">
      <w:pPr>
        <w:rPr>
          <w:highlight w:val="yellow"/>
        </w:rPr>
      </w:pPr>
      <w:r>
        <w:t xml:space="preserve">The fee is calculated by multiplying the rate by the expected time </w:t>
      </w:r>
      <w:r w:rsidR="368247B9">
        <w:t>the examiner works</w:t>
      </w:r>
      <w:r w:rsidR="00A52BDB">
        <w:t xml:space="preserve">. </w:t>
      </w:r>
    </w:p>
    <w:p w14:paraId="5E13C6D9" w14:textId="36433B73" w:rsidR="00A52BDB" w:rsidRPr="00A52BDB" w:rsidRDefault="00B44CC7" w:rsidP="65303640">
      <w:pPr>
        <w:rPr>
          <w:highlight w:val="yellow"/>
        </w:rPr>
      </w:pPr>
      <w:r>
        <w:t xml:space="preserve">This section outlines how the expected time should be calculated. </w:t>
      </w:r>
      <w:r w:rsidR="006B699F">
        <w:t xml:space="preserve">Occasionally, the time taken to complete the duties of an examiner or assessor will differ from those outlined below.  Examiners and Assessors should discuss this </w:t>
      </w:r>
      <w:r w:rsidR="006B699F" w:rsidRPr="08C32D96">
        <w:rPr>
          <w:b/>
          <w:bCs/>
          <w:u w:val="single"/>
        </w:rPr>
        <w:t>in advance</w:t>
      </w:r>
      <w:r w:rsidR="006B699F">
        <w:t xml:space="preserve"> with the Exam Board or Degree Committee who will agree an adjustment to the time allowed for the work. A valid reason and/or evidence may be required to demonstrate that an adjustment is necessary.  </w:t>
      </w:r>
    </w:p>
    <w:p w14:paraId="2C52088E" w14:textId="307E2922" w:rsidR="007E0F52" w:rsidRPr="007E0F52" w:rsidRDefault="007E0F52" w:rsidP="007E0F52">
      <w:pPr>
        <w:pStyle w:val="Heading3"/>
      </w:pPr>
      <w:r>
        <w:t>Undergraduate and Postgraduate Taught</w:t>
      </w:r>
    </w:p>
    <w:p w14:paraId="19BB87DC" w14:textId="2AD37E1F" w:rsidR="000DA469" w:rsidRDefault="000DA469" w:rsidP="080C33C1">
      <w:r>
        <w:t xml:space="preserve">The </w:t>
      </w:r>
      <w:r w:rsidR="43829B2E">
        <w:t xml:space="preserve">expected time worked for </w:t>
      </w:r>
      <w:r w:rsidR="00A52BDB">
        <w:t>undergraduate and postgraduate taught</w:t>
      </w:r>
      <w:r w:rsidR="007E0F52">
        <w:t xml:space="preserve"> </w:t>
      </w:r>
      <w:r>
        <w:t>examiners co</w:t>
      </w:r>
      <w:r w:rsidR="7766D16F">
        <w:t xml:space="preserve">nsists </w:t>
      </w:r>
      <w:r>
        <w:t>of two parts</w:t>
      </w:r>
      <w:r w:rsidR="45191FFE">
        <w:t>. The first</w:t>
      </w:r>
      <w:r w:rsidR="546B7C9D">
        <w:t xml:space="preserve"> part</w:t>
      </w:r>
      <w:r w:rsidR="45191FFE">
        <w:t xml:space="preserve"> (preparation) </w:t>
      </w:r>
      <w:r w:rsidR="189890F9">
        <w:t xml:space="preserve">is </w:t>
      </w:r>
      <w:r w:rsidR="5D1FDA6C">
        <w:t>based on</w:t>
      </w:r>
      <w:r w:rsidR="45191FFE">
        <w:t xml:space="preserve"> the time </w:t>
      </w:r>
      <w:r w:rsidR="3029525F">
        <w:t xml:space="preserve">taken </w:t>
      </w:r>
      <w:r w:rsidR="45191FFE">
        <w:t>to</w:t>
      </w:r>
      <w:r w:rsidR="3595BD99">
        <w:t xml:space="preserve"> </w:t>
      </w:r>
      <w:r w:rsidR="5FD61009">
        <w:t xml:space="preserve">perform the duties of an </w:t>
      </w:r>
      <w:r w:rsidR="4FC166D8">
        <w:t>examiner</w:t>
      </w:r>
      <w:r w:rsidR="0C4925A7">
        <w:t>,</w:t>
      </w:r>
      <w:r w:rsidR="3595BD99">
        <w:t xml:space="preserve"> for example</w:t>
      </w:r>
      <w:r w:rsidR="4CC29B08">
        <w:t>,</w:t>
      </w:r>
      <w:r w:rsidR="3595BD99">
        <w:t xml:space="preserve"> attending </w:t>
      </w:r>
      <w:r w:rsidR="7A1D070C">
        <w:t>meetings</w:t>
      </w:r>
      <w:r w:rsidR="124ABDE8">
        <w:t xml:space="preserve"> and</w:t>
      </w:r>
      <w:r w:rsidR="596F79A5">
        <w:t xml:space="preserve"> </w:t>
      </w:r>
      <w:r w:rsidR="37DEB6AD">
        <w:t>proofing</w:t>
      </w:r>
      <w:r w:rsidR="596F79A5">
        <w:t xml:space="preserve"> questions</w:t>
      </w:r>
      <w:r w:rsidR="1CF74F95">
        <w:t>. The second part is b</w:t>
      </w:r>
      <w:r w:rsidR="2ED783D2">
        <w:t>ased on the time taken</w:t>
      </w:r>
      <w:r w:rsidR="190C28C2">
        <w:t xml:space="preserve"> to </w:t>
      </w:r>
      <w:r w:rsidR="00A52BDB">
        <w:t>assess</w:t>
      </w:r>
      <w:r w:rsidR="190C28C2">
        <w:t xml:space="preserve"> </w:t>
      </w:r>
      <w:r w:rsidR="00F9289F">
        <w:t>the work produced by the student e.g. written exams, coursework, orals etc</w:t>
      </w:r>
      <w:r w:rsidR="00A52BDB">
        <w:t xml:space="preserve">. </w:t>
      </w:r>
      <w:r w:rsidR="190C28C2">
        <w:t xml:space="preserve"> </w:t>
      </w:r>
    </w:p>
    <w:p w14:paraId="5D74AB10" w14:textId="481187F1" w:rsidR="6C1801F3" w:rsidRDefault="6C1801F3" w:rsidP="007E0F52">
      <w:pPr>
        <w:pStyle w:val="Heading4"/>
      </w:pPr>
      <w:r>
        <w:t>Part 1</w:t>
      </w:r>
      <w:r w:rsidR="00C069F8">
        <w:t xml:space="preserve"> – Preparation time</w:t>
      </w:r>
    </w:p>
    <w:p w14:paraId="2056F67E" w14:textId="20D334CE" w:rsidR="007E0F52" w:rsidRDefault="002D43F0" w:rsidP="080C33C1">
      <w:r>
        <w:t xml:space="preserve">The table below outlines the preparation time </w:t>
      </w:r>
      <w:r w:rsidR="4AECFB6B">
        <w:t>(‘</w:t>
      </w:r>
      <w:r>
        <w:t>examining roles</w:t>
      </w:r>
      <w:r w:rsidR="2A780D2E">
        <w:t>’)</w:t>
      </w:r>
      <w:r>
        <w:t xml:space="preserve"> for undergraduate and postgraduate taught courses.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43F0" w14:paraId="51D36F33" w14:textId="77777777" w:rsidTr="002D43F0">
        <w:tc>
          <w:tcPr>
            <w:tcW w:w="4508" w:type="dxa"/>
          </w:tcPr>
          <w:p w14:paraId="702735AE" w14:textId="3688E4B8" w:rsidR="002D43F0" w:rsidRPr="002D43F0" w:rsidRDefault="002D43F0" w:rsidP="080C33C1">
            <w:pPr>
              <w:rPr>
                <w:b/>
              </w:rPr>
            </w:pPr>
            <w:r w:rsidRPr="002D43F0">
              <w:rPr>
                <w:b/>
              </w:rPr>
              <w:t>Role</w:t>
            </w:r>
          </w:p>
        </w:tc>
        <w:tc>
          <w:tcPr>
            <w:tcW w:w="4508" w:type="dxa"/>
          </w:tcPr>
          <w:p w14:paraId="2B4359A9" w14:textId="7E3EB353" w:rsidR="002D43F0" w:rsidRPr="002D43F0" w:rsidRDefault="002D43F0" w:rsidP="080C33C1">
            <w:pPr>
              <w:rPr>
                <w:b/>
              </w:rPr>
            </w:pPr>
            <w:r w:rsidRPr="002D43F0">
              <w:rPr>
                <w:b/>
              </w:rPr>
              <w:t>Preparation time (hours)</w:t>
            </w:r>
          </w:p>
        </w:tc>
      </w:tr>
      <w:tr w:rsidR="002D43F0" w14:paraId="0ECA1346" w14:textId="77777777" w:rsidTr="002D43F0">
        <w:tc>
          <w:tcPr>
            <w:tcW w:w="4508" w:type="dxa"/>
          </w:tcPr>
          <w:p w14:paraId="375DEA51" w14:textId="4AC9458A" w:rsidR="002D43F0" w:rsidRDefault="002D43F0" w:rsidP="002D43F0">
            <w:r w:rsidRPr="00B9364B">
              <w:t xml:space="preserve">External </w:t>
            </w:r>
            <w:r>
              <w:t>Examiner</w:t>
            </w:r>
          </w:p>
        </w:tc>
        <w:tc>
          <w:tcPr>
            <w:tcW w:w="4508" w:type="dxa"/>
          </w:tcPr>
          <w:p w14:paraId="28F309C2" w14:textId="4A08C5ED" w:rsidR="002D43F0" w:rsidRDefault="00F9289F" w:rsidP="002D43F0">
            <w:r>
              <w:t>29.2</w:t>
            </w:r>
          </w:p>
        </w:tc>
      </w:tr>
      <w:tr w:rsidR="002D43F0" w14:paraId="5DE0D8DF" w14:textId="77777777" w:rsidTr="002D43F0">
        <w:tc>
          <w:tcPr>
            <w:tcW w:w="4508" w:type="dxa"/>
          </w:tcPr>
          <w:p w14:paraId="795215F4" w14:textId="3CC6CA18" w:rsidR="002D43F0" w:rsidRDefault="002D43F0" w:rsidP="002D43F0">
            <w:r>
              <w:t>Examiner</w:t>
            </w:r>
            <w:r w:rsidRPr="00B9364B">
              <w:t xml:space="preserve"> responsible for setting a paper</w:t>
            </w:r>
          </w:p>
        </w:tc>
        <w:tc>
          <w:tcPr>
            <w:tcW w:w="4508" w:type="dxa"/>
          </w:tcPr>
          <w:p w14:paraId="5D213450" w14:textId="7D8A535E" w:rsidR="002D43F0" w:rsidRDefault="002D43F0" w:rsidP="002D43F0">
            <w:r>
              <w:t>14.6</w:t>
            </w:r>
          </w:p>
        </w:tc>
      </w:tr>
      <w:tr w:rsidR="002D43F0" w14:paraId="4537AB38" w14:textId="77777777" w:rsidTr="002D43F0">
        <w:tc>
          <w:tcPr>
            <w:tcW w:w="4508" w:type="dxa"/>
          </w:tcPr>
          <w:p w14:paraId="15ECCDDD" w14:textId="1055999C" w:rsidR="002D43F0" w:rsidRDefault="002D43F0" w:rsidP="002D43F0">
            <w:r>
              <w:t>Examiner</w:t>
            </w:r>
            <w:r w:rsidRPr="00B9364B">
              <w:t xml:space="preserve"> not responsible for setting a paper </w:t>
            </w:r>
          </w:p>
        </w:tc>
        <w:tc>
          <w:tcPr>
            <w:tcW w:w="4508" w:type="dxa"/>
          </w:tcPr>
          <w:p w14:paraId="38A24B83" w14:textId="73FE38EE" w:rsidR="002D43F0" w:rsidRDefault="002D43F0" w:rsidP="002D43F0">
            <w:r>
              <w:t xml:space="preserve">7.3 </w:t>
            </w:r>
          </w:p>
        </w:tc>
      </w:tr>
      <w:tr w:rsidR="002D43F0" w14:paraId="6D103696" w14:textId="77777777" w:rsidTr="002D43F0">
        <w:tc>
          <w:tcPr>
            <w:tcW w:w="4508" w:type="dxa"/>
          </w:tcPr>
          <w:p w14:paraId="03B059E4" w14:textId="595AB2D9" w:rsidR="002D43F0" w:rsidRDefault="002D43F0" w:rsidP="002D43F0">
            <w:r w:rsidRPr="00B9364B">
              <w:t xml:space="preserve">Assessors </w:t>
            </w:r>
          </w:p>
        </w:tc>
        <w:tc>
          <w:tcPr>
            <w:tcW w:w="4508" w:type="dxa"/>
          </w:tcPr>
          <w:p w14:paraId="1F752B70" w14:textId="23B0FB35" w:rsidR="002D43F0" w:rsidRDefault="002D43F0" w:rsidP="002D43F0">
            <w:r>
              <w:t>3.65</w:t>
            </w:r>
          </w:p>
        </w:tc>
      </w:tr>
    </w:tbl>
    <w:p w14:paraId="3351E668" w14:textId="0E182B77" w:rsidR="001D68B8" w:rsidRDefault="001D68B8" w:rsidP="00F9289F">
      <w:r>
        <w:t>The duties of the roles can be found</w:t>
      </w:r>
      <w:r w:rsidR="00C733E7">
        <w:t xml:space="preserve"> in the Examiners guide on the Student Registry website</w:t>
      </w:r>
      <w:r w:rsidR="5B9E2DAA">
        <w:t xml:space="preserve">: </w:t>
      </w:r>
      <w:hyperlink r:id="rId13">
        <w:r w:rsidR="5B9E2DAA" w:rsidRPr="54C19EC9">
          <w:rPr>
            <w:rStyle w:val="Hyperlink"/>
          </w:rPr>
          <w:t>https://www.student-registry.admin.cam.ac.uk/examinations-further-guidance-staff/appointment-examiners-and-assessors</w:t>
        </w:r>
      </w:hyperlink>
      <w:r w:rsidR="5B9E2DAA">
        <w:t xml:space="preserve"> </w:t>
      </w:r>
    </w:p>
    <w:p w14:paraId="284977F6" w14:textId="75E64622" w:rsidR="00F9289F" w:rsidRDefault="00F9289F" w:rsidP="00F9289F">
      <w:pPr>
        <w:pStyle w:val="Heading4"/>
      </w:pPr>
      <w:r>
        <w:t>Part 2 – Assessing work</w:t>
      </w:r>
    </w:p>
    <w:p w14:paraId="442BBE30" w14:textId="7AA08633" w:rsidR="00F9289F" w:rsidRDefault="00F9289F" w:rsidP="00F9289F">
      <w:r>
        <w:t xml:space="preserve">The table below outlines the time expected to assess different </w:t>
      </w:r>
      <w:r w:rsidR="00620311">
        <w:t>categories</w:t>
      </w:r>
      <w:r>
        <w:t xml:space="preserve"> of student work.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681"/>
        <w:gridCol w:w="5385"/>
      </w:tblGrid>
      <w:tr w:rsidR="00F774EF" w14:paraId="564A9C30" w14:textId="77777777" w:rsidTr="65303640">
        <w:tc>
          <w:tcPr>
            <w:tcW w:w="3681" w:type="dxa"/>
          </w:tcPr>
          <w:p w14:paraId="1C9E2C5E" w14:textId="2B73C70D" w:rsidR="00F774EF" w:rsidRDefault="00F774EF" w:rsidP="000179A9">
            <w:r>
              <w:t xml:space="preserve">Category of </w:t>
            </w:r>
            <w:r w:rsidR="000179A9">
              <w:t xml:space="preserve">produced work </w:t>
            </w:r>
          </w:p>
        </w:tc>
        <w:tc>
          <w:tcPr>
            <w:tcW w:w="5385" w:type="dxa"/>
          </w:tcPr>
          <w:p w14:paraId="022B683D" w14:textId="2FC88ABC" w:rsidR="00F774EF" w:rsidRDefault="00F774EF" w:rsidP="00F9289F">
            <w:r>
              <w:t>Time taken</w:t>
            </w:r>
          </w:p>
        </w:tc>
      </w:tr>
      <w:tr w:rsidR="00F774EF" w14:paraId="34E5813C" w14:textId="77777777" w:rsidTr="65303640">
        <w:tc>
          <w:tcPr>
            <w:tcW w:w="3681" w:type="dxa"/>
          </w:tcPr>
          <w:p w14:paraId="44241708" w14:textId="77777777" w:rsidR="00F774EF" w:rsidRDefault="00F774EF" w:rsidP="00F9289F">
            <w:r>
              <w:t xml:space="preserve">EM1 </w:t>
            </w:r>
          </w:p>
          <w:p w14:paraId="0756C7D8" w14:textId="583A9686" w:rsidR="00F774EF" w:rsidRDefault="00F774EF" w:rsidP="00620311">
            <w:r>
              <w:t xml:space="preserve">Text dense </w:t>
            </w:r>
            <w:r w:rsidR="002E3328">
              <w:t>exam</w:t>
            </w:r>
            <w:r w:rsidR="00620311">
              <w:t xml:space="preserve"> answers</w:t>
            </w:r>
          </w:p>
        </w:tc>
        <w:tc>
          <w:tcPr>
            <w:tcW w:w="5385" w:type="dxa"/>
          </w:tcPr>
          <w:p w14:paraId="756EC0C0" w14:textId="548A8721" w:rsidR="00F774EF" w:rsidRDefault="00620311" w:rsidP="00F9289F">
            <w:r>
              <w:t>0.25 hours per examined hour</w:t>
            </w:r>
          </w:p>
        </w:tc>
      </w:tr>
      <w:tr w:rsidR="00F774EF" w14:paraId="1F86D6A8" w14:textId="77777777" w:rsidTr="65303640">
        <w:tc>
          <w:tcPr>
            <w:tcW w:w="3681" w:type="dxa"/>
          </w:tcPr>
          <w:p w14:paraId="21E98EA1" w14:textId="77777777" w:rsidR="00F774EF" w:rsidRDefault="00F774EF" w:rsidP="00F9289F">
            <w:r>
              <w:t xml:space="preserve">EM2 </w:t>
            </w:r>
          </w:p>
          <w:p w14:paraId="639B9B75" w14:textId="2E11A020" w:rsidR="00F774EF" w:rsidRDefault="62371220" w:rsidP="00620311">
            <w:r>
              <w:t>Hybrid</w:t>
            </w:r>
            <w:r w:rsidR="51F563E6">
              <w:t xml:space="preserve"> </w:t>
            </w:r>
            <w:r w:rsidR="00620311">
              <w:t xml:space="preserve">exam answers e.g. short paragraph answers </w:t>
            </w:r>
          </w:p>
        </w:tc>
        <w:tc>
          <w:tcPr>
            <w:tcW w:w="5385" w:type="dxa"/>
          </w:tcPr>
          <w:p w14:paraId="37A3BC98" w14:textId="751423C3" w:rsidR="00F774EF" w:rsidRDefault="00620311" w:rsidP="00F9289F">
            <w:r>
              <w:t>0.125 hours per examined hour</w:t>
            </w:r>
          </w:p>
        </w:tc>
      </w:tr>
      <w:tr w:rsidR="00F774EF" w14:paraId="7A61559C" w14:textId="77777777" w:rsidTr="65303640">
        <w:tc>
          <w:tcPr>
            <w:tcW w:w="3681" w:type="dxa"/>
          </w:tcPr>
          <w:p w14:paraId="3DFCD652" w14:textId="77777777" w:rsidR="00F774EF" w:rsidRDefault="00F774EF" w:rsidP="00F9289F">
            <w:r>
              <w:t xml:space="preserve">EM3 </w:t>
            </w:r>
          </w:p>
          <w:p w14:paraId="12E5B0CB" w14:textId="4C342473" w:rsidR="00F774EF" w:rsidRDefault="00F774EF" w:rsidP="00F9289F">
            <w:r>
              <w:t>Simple</w:t>
            </w:r>
            <w:r w:rsidR="00620311">
              <w:t xml:space="preserve"> exam answers e.g. problems</w:t>
            </w:r>
          </w:p>
        </w:tc>
        <w:tc>
          <w:tcPr>
            <w:tcW w:w="5385" w:type="dxa"/>
          </w:tcPr>
          <w:p w14:paraId="1A3EE845" w14:textId="6533E70B" w:rsidR="00F774EF" w:rsidRDefault="00620311" w:rsidP="00F9289F">
            <w:r>
              <w:t>0.083 hours per examined hour</w:t>
            </w:r>
          </w:p>
        </w:tc>
      </w:tr>
      <w:tr w:rsidR="00F774EF" w14:paraId="4EE79E33" w14:textId="77777777" w:rsidTr="65303640">
        <w:tc>
          <w:tcPr>
            <w:tcW w:w="3681" w:type="dxa"/>
          </w:tcPr>
          <w:p w14:paraId="2288BD52" w14:textId="77777777" w:rsidR="00F774EF" w:rsidRDefault="00F774EF" w:rsidP="00F9289F">
            <w:r>
              <w:t xml:space="preserve">EC </w:t>
            </w:r>
          </w:p>
          <w:p w14:paraId="031E4ADF" w14:textId="244913C9" w:rsidR="00F774EF" w:rsidRDefault="00F774EF" w:rsidP="00F9289F">
            <w:r>
              <w:t>Coursework</w:t>
            </w:r>
          </w:p>
        </w:tc>
        <w:tc>
          <w:tcPr>
            <w:tcW w:w="5385" w:type="dxa"/>
          </w:tcPr>
          <w:p w14:paraId="565D2880" w14:textId="3CD9BF4E" w:rsidR="00F774EF" w:rsidRDefault="00620311" w:rsidP="00F9289F">
            <w:r>
              <w:t>1 hour per 8,000 words</w:t>
            </w:r>
          </w:p>
        </w:tc>
      </w:tr>
      <w:tr w:rsidR="00F774EF" w14:paraId="5F0FC9FD" w14:textId="77777777" w:rsidTr="65303640">
        <w:tc>
          <w:tcPr>
            <w:tcW w:w="3681" w:type="dxa"/>
          </w:tcPr>
          <w:p w14:paraId="6B07E8D8" w14:textId="77777777" w:rsidR="00F774EF" w:rsidRDefault="00F774EF" w:rsidP="00F9289F">
            <w:r>
              <w:t>EP</w:t>
            </w:r>
          </w:p>
          <w:p w14:paraId="26ACF35B" w14:textId="3AD76332" w:rsidR="00F774EF" w:rsidRDefault="00F774EF" w:rsidP="00F9289F">
            <w:r>
              <w:t>Orals, practicals, presentations</w:t>
            </w:r>
          </w:p>
        </w:tc>
        <w:tc>
          <w:tcPr>
            <w:tcW w:w="5385" w:type="dxa"/>
          </w:tcPr>
          <w:p w14:paraId="3751FAD0" w14:textId="4BE47987" w:rsidR="00F774EF" w:rsidRDefault="00620311" w:rsidP="00F9289F">
            <w:r>
              <w:t xml:space="preserve">1.25 per examined hours, including breaks and note taking. </w:t>
            </w:r>
          </w:p>
        </w:tc>
      </w:tr>
    </w:tbl>
    <w:p w14:paraId="48880409" w14:textId="652BE7A2" w:rsidR="02943A44" w:rsidRDefault="02943A44" w:rsidP="36F126E4">
      <w:r>
        <w:t>Written exams are categorised into EM1, EM2 and EM3</w:t>
      </w:r>
      <w:r w:rsidR="69112555">
        <w:t>.</w:t>
      </w:r>
    </w:p>
    <w:p w14:paraId="761A3C21" w14:textId="77777777" w:rsidR="000F482B" w:rsidRDefault="000F482B" w:rsidP="00B44CC7">
      <w:pPr>
        <w:pStyle w:val="Heading3"/>
      </w:pPr>
    </w:p>
    <w:p w14:paraId="76E8D570" w14:textId="77777777" w:rsidR="000F482B" w:rsidRDefault="000F482B" w:rsidP="00B44CC7">
      <w:pPr>
        <w:pStyle w:val="Heading3"/>
      </w:pPr>
    </w:p>
    <w:p w14:paraId="0ED1F55E" w14:textId="77777777" w:rsidR="000F482B" w:rsidRDefault="000F482B" w:rsidP="00B44CC7">
      <w:pPr>
        <w:pStyle w:val="Heading3"/>
      </w:pPr>
    </w:p>
    <w:p w14:paraId="062E74E2" w14:textId="5D513102" w:rsidR="00F9289F" w:rsidRDefault="00B44CC7" w:rsidP="00B44CC7">
      <w:pPr>
        <w:pStyle w:val="Heading3"/>
      </w:pPr>
      <w:r>
        <w:t>Postgraduate research</w:t>
      </w:r>
    </w:p>
    <w:p w14:paraId="65096F47" w14:textId="7955654E" w:rsidR="00B44CC7" w:rsidRDefault="00B44CC7" w:rsidP="00F9289F">
      <w:r>
        <w:t>The below outline the time taken to assess postgraduate research courses</w:t>
      </w:r>
      <w:r w:rsidR="002C619F">
        <w:t xml:space="preserve"> (with no distinction of preparation and assessing time)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CC7" w14:paraId="0CF11543" w14:textId="77777777" w:rsidTr="00B44CC7">
        <w:tc>
          <w:tcPr>
            <w:tcW w:w="4508" w:type="dxa"/>
          </w:tcPr>
          <w:p w14:paraId="7D394748" w14:textId="175715F8" w:rsidR="00B44CC7" w:rsidRDefault="00B44CC7" w:rsidP="00F9289F">
            <w:r>
              <w:t>Examination</w:t>
            </w:r>
          </w:p>
        </w:tc>
        <w:tc>
          <w:tcPr>
            <w:tcW w:w="4508" w:type="dxa"/>
          </w:tcPr>
          <w:p w14:paraId="197086D3" w14:textId="67B7C513" w:rsidR="00B44CC7" w:rsidRDefault="00B44CC7" w:rsidP="00F9289F">
            <w:r>
              <w:t xml:space="preserve">Time (hours)  </w:t>
            </w:r>
          </w:p>
        </w:tc>
      </w:tr>
      <w:tr w:rsidR="00B44CC7" w14:paraId="283F5D6D" w14:textId="77777777" w:rsidTr="00B44CC7">
        <w:tc>
          <w:tcPr>
            <w:tcW w:w="4508" w:type="dxa"/>
          </w:tcPr>
          <w:p w14:paraId="17C95F31" w14:textId="1E22FC09" w:rsidR="00B44CC7" w:rsidRDefault="00B44CC7" w:rsidP="00F9289F">
            <w:r>
              <w:t>Progress examination</w:t>
            </w:r>
          </w:p>
        </w:tc>
        <w:tc>
          <w:tcPr>
            <w:tcW w:w="4508" w:type="dxa"/>
          </w:tcPr>
          <w:p w14:paraId="2355A8F4" w14:textId="092785E4" w:rsidR="00B44CC7" w:rsidRDefault="00B37881" w:rsidP="00F9289F">
            <w:r>
              <w:t>3.5</w:t>
            </w:r>
          </w:p>
        </w:tc>
      </w:tr>
      <w:tr w:rsidR="00B44CC7" w14:paraId="31778707" w14:textId="77777777" w:rsidTr="00B44CC7">
        <w:tc>
          <w:tcPr>
            <w:tcW w:w="4508" w:type="dxa"/>
          </w:tcPr>
          <w:p w14:paraId="21EFEEB3" w14:textId="1CAC5C04" w:rsidR="00B44CC7" w:rsidRDefault="00B44CC7" w:rsidP="00F9289F">
            <w:r>
              <w:t>PhD, MSc, MLitt</w:t>
            </w:r>
            <w:r w:rsidR="00DC75CA">
              <w:t xml:space="preserve"> and doctoral degrees</w:t>
            </w:r>
            <w:r>
              <w:t xml:space="preserve"> with oral</w:t>
            </w:r>
          </w:p>
        </w:tc>
        <w:tc>
          <w:tcPr>
            <w:tcW w:w="4508" w:type="dxa"/>
          </w:tcPr>
          <w:p w14:paraId="0CA5032D" w14:textId="36DFB98D" w:rsidR="00B44CC7" w:rsidRDefault="00B44CC7" w:rsidP="00F9289F">
            <w:r>
              <w:t xml:space="preserve">10.3 </w:t>
            </w:r>
          </w:p>
        </w:tc>
      </w:tr>
      <w:tr w:rsidR="00B44CC7" w14:paraId="0B293ADC" w14:textId="77777777" w:rsidTr="00B44CC7">
        <w:tc>
          <w:tcPr>
            <w:tcW w:w="4508" w:type="dxa"/>
          </w:tcPr>
          <w:p w14:paraId="5183DB6D" w14:textId="3662A8E4" w:rsidR="00B44CC7" w:rsidRDefault="00B44CC7" w:rsidP="00F9289F">
            <w:r>
              <w:t xml:space="preserve">PhD, MSc, MLitt </w:t>
            </w:r>
            <w:r w:rsidR="00DC75CA">
              <w:t xml:space="preserve">and doctoral degrees </w:t>
            </w:r>
            <w:r>
              <w:t>without oral</w:t>
            </w:r>
            <w:r w:rsidR="003153C2">
              <w:t xml:space="preserve"> (Examiner of resubmitted thesis)</w:t>
            </w:r>
          </w:p>
        </w:tc>
        <w:tc>
          <w:tcPr>
            <w:tcW w:w="4508" w:type="dxa"/>
          </w:tcPr>
          <w:p w14:paraId="4A85D42A" w14:textId="4028DD63" w:rsidR="00B44CC7" w:rsidRDefault="00B44CC7" w:rsidP="00F9289F">
            <w:r>
              <w:t>7.3</w:t>
            </w:r>
          </w:p>
        </w:tc>
      </w:tr>
      <w:tr w:rsidR="00B44CC7" w14:paraId="4F57D125" w14:textId="77777777" w:rsidTr="00B44CC7">
        <w:tc>
          <w:tcPr>
            <w:tcW w:w="4508" w:type="dxa"/>
          </w:tcPr>
          <w:p w14:paraId="47C3B71A" w14:textId="4550C505" w:rsidR="00B44CC7" w:rsidRDefault="00B44CC7" w:rsidP="00F9289F">
            <w:r>
              <w:t xml:space="preserve">MPhil </w:t>
            </w:r>
            <w:r w:rsidR="003153C2">
              <w:t xml:space="preserve">by thesis </w:t>
            </w:r>
            <w:r>
              <w:t>with oral</w:t>
            </w:r>
          </w:p>
        </w:tc>
        <w:tc>
          <w:tcPr>
            <w:tcW w:w="4508" w:type="dxa"/>
          </w:tcPr>
          <w:p w14:paraId="3A544E97" w14:textId="48763497" w:rsidR="00B44CC7" w:rsidRDefault="00B44CC7" w:rsidP="00F9289F">
            <w:r>
              <w:t>5</w:t>
            </w:r>
          </w:p>
        </w:tc>
      </w:tr>
      <w:tr w:rsidR="00B44CC7" w14:paraId="3CA11755" w14:textId="77777777" w:rsidTr="00B44CC7">
        <w:tc>
          <w:tcPr>
            <w:tcW w:w="4508" w:type="dxa"/>
          </w:tcPr>
          <w:p w14:paraId="46FAACA8" w14:textId="7CA0FFAE" w:rsidR="00B44CC7" w:rsidRDefault="00B44CC7" w:rsidP="00F9289F">
            <w:r>
              <w:t xml:space="preserve">MPhil </w:t>
            </w:r>
            <w:r w:rsidR="003153C2">
              <w:t xml:space="preserve">by thesis </w:t>
            </w:r>
            <w:r>
              <w:t>without oral</w:t>
            </w:r>
          </w:p>
        </w:tc>
        <w:tc>
          <w:tcPr>
            <w:tcW w:w="4508" w:type="dxa"/>
          </w:tcPr>
          <w:p w14:paraId="19BE8280" w14:textId="22B09667" w:rsidR="00B44CC7" w:rsidRDefault="00B44CC7" w:rsidP="00F9289F">
            <w:r>
              <w:t>3</w:t>
            </w:r>
          </w:p>
        </w:tc>
      </w:tr>
      <w:tr w:rsidR="00DC75CA" w14:paraId="03AFFC34" w14:textId="77777777" w:rsidTr="00B44CC7">
        <w:tc>
          <w:tcPr>
            <w:tcW w:w="4508" w:type="dxa"/>
          </w:tcPr>
          <w:p w14:paraId="3B9A4CBE" w14:textId="60D94D00" w:rsidR="00DC75CA" w:rsidRDefault="00DC75CA" w:rsidP="00F9289F">
            <w:r>
              <w:t>Additional oral examination</w:t>
            </w:r>
          </w:p>
        </w:tc>
        <w:tc>
          <w:tcPr>
            <w:tcW w:w="4508" w:type="dxa"/>
          </w:tcPr>
          <w:p w14:paraId="297EE1FA" w14:textId="0B6BD4B7" w:rsidR="00DC75CA" w:rsidRDefault="00DC75CA" w:rsidP="00F9289F">
            <w:r>
              <w:t>3</w:t>
            </w:r>
          </w:p>
        </w:tc>
      </w:tr>
    </w:tbl>
    <w:p w14:paraId="00982655" w14:textId="27BED03F" w:rsidR="00EC2580" w:rsidRDefault="00EC2580" w:rsidP="00DC75CA"/>
    <w:p w14:paraId="4E42F688" w14:textId="2EDA1D05" w:rsidR="00EC2580" w:rsidRDefault="00EC2580" w:rsidP="00DC75CA">
      <w:r>
        <w:t>Where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580" w14:paraId="7E063398" w14:textId="77777777" w:rsidTr="00C57404">
        <w:tc>
          <w:tcPr>
            <w:tcW w:w="4508" w:type="dxa"/>
          </w:tcPr>
          <w:p w14:paraId="4C1F01D3" w14:textId="1F4BAAAE" w:rsidR="00EC2580" w:rsidRDefault="00EC2580" w:rsidP="00C57404">
            <w:r>
              <w:t>Category of examining</w:t>
            </w:r>
          </w:p>
        </w:tc>
        <w:tc>
          <w:tcPr>
            <w:tcW w:w="4508" w:type="dxa"/>
          </w:tcPr>
          <w:p w14:paraId="5C95E886" w14:textId="77777777" w:rsidR="00EC2580" w:rsidRDefault="00EC2580" w:rsidP="00C57404">
            <w:r>
              <w:t xml:space="preserve">Time (hours)  </w:t>
            </w:r>
          </w:p>
        </w:tc>
      </w:tr>
      <w:tr w:rsidR="00EC2580" w14:paraId="51E5DC29" w14:textId="77777777" w:rsidTr="00C57404">
        <w:tc>
          <w:tcPr>
            <w:tcW w:w="4508" w:type="dxa"/>
          </w:tcPr>
          <w:p w14:paraId="4EF64308" w14:textId="27E906DB" w:rsidR="00EC2580" w:rsidRDefault="00EC2580" w:rsidP="00C57404">
            <w:r>
              <w:t>Referee</w:t>
            </w:r>
          </w:p>
        </w:tc>
        <w:tc>
          <w:tcPr>
            <w:tcW w:w="4508" w:type="dxa"/>
          </w:tcPr>
          <w:p w14:paraId="58766AA3" w14:textId="567A03B9" w:rsidR="00EC2580" w:rsidRDefault="00EC2580" w:rsidP="00C57404">
            <w:r>
              <w:t>7.3</w:t>
            </w:r>
          </w:p>
        </w:tc>
      </w:tr>
      <w:tr w:rsidR="00EC2580" w14:paraId="1C4AFC95" w14:textId="77777777" w:rsidTr="00C57404">
        <w:tc>
          <w:tcPr>
            <w:tcW w:w="4508" w:type="dxa"/>
          </w:tcPr>
          <w:p w14:paraId="7A3BEEC7" w14:textId="600296A3" w:rsidR="00EC2580" w:rsidRDefault="00EC2580" w:rsidP="00C57404">
            <w:r>
              <w:t>Assessor</w:t>
            </w:r>
          </w:p>
        </w:tc>
        <w:tc>
          <w:tcPr>
            <w:tcW w:w="4508" w:type="dxa"/>
          </w:tcPr>
          <w:p w14:paraId="684438FC" w14:textId="15B819D1" w:rsidR="00EC2580" w:rsidRDefault="00427853" w:rsidP="00C57404">
            <w:r>
              <w:t>3</w:t>
            </w:r>
            <w:r w:rsidR="00EC2580">
              <w:t xml:space="preserve"> </w:t>
            </w:r>
          </w:p>
        </w:tc>
      </w:tr>
    </w:tbl>
    <w:p w14:paraId="30AF7D23" w14:textId="4FC0B484" w:rsidR="00B44CC7" w:rsidRDefault="00B44CC7" w:rsidP="00DC75CA"/>
    <w:p w14:paraId="023ACA4D" w14:textId="77777777" w:rsidR="000F482B" w:rsidRDefault="000F482B" w:rsidP="725D2CC8">
      <w:pPr>
        <w:pStyle w:val="Heading2"/>
      </w:pPr>
    </w:p>
    <w:p w14:paraId="6FF85644" w14:textId="5E47C419" w:rsidR="08D5A61E" w:rsidRDefault="08D5A61E" w:rsidP="725D2CC8">
      <w:pPr>
        <w:pStyle w:val="Heading2"/>
      </w:pPr>
      <w:r>
        <w:t>Calculating the fee</w:t>
      </w:r>
    </w:p>
    <w:p w14:paraId="0DAFD25C" w14:textId="3F3EA579" w:rsidR="00527A08" w:rsidRDefault="00527A08" w:rsidP="725D2CC8">
      <w:r>
        <w:t>For Undergraduate and Postgraduate Taug</w:t>
      </w:r>
      <w:r w:rsidR="0032615A">
        <w:t xml:space="preserve">ht </w:t>
      </w:r>
      <w:r w:rsidR="007C1F39">
        <w:t>examinations</w:t>
      </w:r>
      <w:r w:rsidR="0032615A">
        <w:t xml:space="preserve"> please use the </w:t>
      </w:r>
      <w:hyperlink r:id="rId14" w:history="1">
        <w:r w:rsidRPr="003C7CEC">
          <w:rPr>
            <w:rStyle w:val="Hyperlink"/>
          </w:rPr>
          <w:t>Calculator spreadsheet</w:t>
        </w:r>
      </w:hyperlink>
      <w:r>
        <w:t xml:space="preserve"> to calculate the total fee payable (</w:t>
      </w:r>
      <w:r w:rsidR="002C619F">
        <w:t xml:space="preserve">for both </w:t>
      </w:r>
      <w:r>
        <w:t>preparation</w:t>
      </w:r>
      <w:r w:rsidR="002C619F">
        <w:t xml:space="preserve"> and </w:t>
      </w:r>
      <w:r>
        <w:t>assessing</w:t>
      </w:r>
      <w:r w:rsidR="002C619F">
        <w:t xml:space="preserve"> time</w:t>
      </w:r>
      <w:r>
        <w:t>).</w:t>
      </w:r>
    </w:p>
    <w:p w14:paraId="44E0CF0D" w14:textId="62889FF8" w:rsidR="00527A08" w:rsidRDefault="00527A08" w:rsidP="725D2CC8">
      <w:r>
        <w:t xml:space="preserve">For Postgraduate Research examinations, the claim form already shows all fees corresponding to each type of examination, </w:t>
      </w:r>
      <w:r w:rsidR="002C619F">
        <w:t xml:space="preserve">therefore </w:t>
      </w:r>
      <w:r w:rsidR="00A41C01">
        <w:t>you do not</w:t>
      </w:r>
      <w:r>
        <w:t xml:space="preserve"> need to calculate these.</w:t>
      </w:r>
    </w:p>
    <w:p w14:paraId="54E1D415" w14:textId="54C1262E" w:rsidR="00AF541E" w:rsidRDefault="002C619F" w:rsidP="00786428">
      <w:pPr>
        <w:spacing w:after="0"/>
      </w:pPr>
      <w:r>
        <w:t>Please note that examiners of Undergraduate Degree courses</w:t>
      </w:r>
      <w:r w:rsidR="00A57564">
        <w:t xml:space="preserve"> (</w:t>
      </w:r>
      <w:r w:rsidR="00A57564" w:rsidRPr="00A57564">
        <w:rPr>
          <w:b/>
        </w:rPr>
        <w:t>with the exception of external examiners</w:t>
      </w:r>
      <w:r w:rsidR="00A57564">
        <w:t>)</w:t>
      </w:r>
      <w:r>
        <w:t xml:space="preserve"> are treated as</w:t>
      </w:r>
      <w:r w:rsidR="00634E16">
        <w:t xml:space="preserve"> workers</w:t>
      </w:r>
      <w:r>
        <w:t>, and are therefore eligible for holiday payment</w:t>
      </w:r>
      <w:r w:rsidR="00AF541E">
        <w:t>. This will be calculated automatically in the Fee Calculator spreadsheet.</w:t>
      </w:r>
    </w:p>
    <w:p w14:paraId="2C9D7A19" w14:textId="75547CF7" w:rsidR="00786428" w:rsidRDefault="00786428" w:rsidP="00786428">
      <w:pPr>
        <w:spacing w:after="0"/>
      </w:pPr>
    </w:p>
    <w:sectPr w:rsidR="00786428" w:rsidSect="00C37ADA">
      <w:headerReference w:type="default" r:id="rId15"/>
      <w:footerReference w:type="default" r:id="rId16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AE8056" w16cex:dateUtc="2021-11-10T10:46:21.896Z"/>
  <w16cex:commentExtensible w16cex:durableId="76D0B710" w16cex:dateUtc="2021-12-07T08:49:36.641Z"/>
  <w16cex:commentExtensible w16cex:durableId="24160ECF" w16cex:dateUtc="2021-12-07T14:43:47.527Z"/>
  <w16cex:commentExtensible w16cex:durableId="3A8021B8" w16cex:dateUtc="2021-12-07T14:44:32.0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3D55C2" w16cid:durableId="22AE8056"/>
  <w16cid:commentId w16cid:paraId="189F7053" w16cid:durableId="36F29B3D"/>
  <w16cid:commentId w16cid:paraId="7E1D7B69" w16cid:durableId="4801DC93"/>
  <w16cid:commentId w16cid:paraId="7EC2ADDD" w16cid:durableId="00E282B9"/>
  <w16cid:commentId w16cid:paraId="08E05A6C" w16cid:durableId="42F226A1"/>
  <w16cid:commentId w16cid:paraId="529288A6" w16cid:durableId="3551BC41"/>
  <w16cid:commentId w16cid:paraId="529791B7" w16cid:durableId="76D0B710"/>
  <w16cid:commentId w16cid:paraId="3BE93CFE" w16cid:durableId="24160ECF"/>
  <w16cid:commentId w16cid:paraId="5A8F00D4" w16cid:durableId="3A8021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2154" w14:textId="77777777" w:rsidR="00646A35" w:rsidRDefault="00646A35">
      <w:pPr>
        <w:spacing w:after="0" w:line="240" w:lineRule="auto"/>
      </w:pPr>
      <w:r>
        <w:separator/>
      </w:r>
    </w:p>
  </w:endnote>
  <w:endnote w:type="continuationSeparator" w:id="0">
    <w:p w14:paraId="10699350" w14:textId="77777777" w:rsidR="00646A35" w:rsidRDefault="006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323C9F" w14:paraId="0AE08DE3" w14:textId="77777777" w:rsidTr="09323C9F">
      <w:tc>
        <w:tcPr>
          <w:tcW w:w="3005" w:type="dxa"/>
        </w:tcPr>
        <w:p w14:paraId="6FF2CF56" w14:textId="5F00B392" w:rsidR="09323C9F" w:rsidRDefault="09323C9F" w:rsidP="004C7713">
          <w:pPr>
            <w:pStyle w:val="Header"/>
            <w:ind w:left="-115"/>
          </w:pPr>
          <w:r>
            <w:t>Version</w:t>
          </w:r>
          <w:r w:rsidR="004C7713">
            <w:t xml:space="preserve"> 9</w:t>
          </w:r>
          <w:r>
            <w:t xml:space="preserve">: </w:t>
          </w:r>
          <w:r w:rsidR="004C7713">
            <w:t>25 Apr</w:t>
          </w:r>
          <w:r w:rsidR="00786428">
            <w:t xml:space="preserve"> 2023</w:t>
          </w:r>
        </w:p>
      </w:tc>
      <w:tc>
        <w:tcPr>
          <w:tcW w:w="3005" w:type="dxa"/>
        </w:tcPr>
        <w:p w14:paraId="4AFD2B96" w14:textId="1A72FAAD" w:rsidR="09323C9F" w:rsidRDefault="09323C9F" w:rsidP="09323C9F">
          <w:pPr>
            <w:pStyle w:val="Header"/>
            <w:jc w:val="center"/>
          </w:pPr>
        </w:p>
      </w:tc>
      <w:tc>
        <w:tcPr>
          <w:tcW w:w="3005" w:type="dxa"/>
        </w:tcPr>
        <w:p w14:paraId="4DF5EC88" w14:textId="78C91042" w:rsidR="09323C9F" w:rsidRDefault="09323C9F" w:rsidP="09323C9F">
          <w:pPr>
            <w:pStyle w:val="Header"/>
            <w:ind w:right="-115"/>
            <w:jc w:val="right"/>
          </w:pPr>
        </w:p>
      </w:tc>
    </w:tr>
  </w:tbl>
  <w:p w14:paraId="42298024" w14:textId="5DA0146F" w:rsidR="09323C9F" w:rsidRDefault="09323C9F" w:rsidP="0932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57856" w14:textId="77777777" w:rsidR="00646A35" w:rsidRDefault="00646A35">
      <w:pPr>
        <w:spacing w:after="0" w:line="240" w:lineRule="auto"/>
      </w:pPr>
      <w:r>
        <w:separator/>
      </w:r>
    </w:p>
  </w:footnote>
  <w:footnote w:type="continuationSeparator" w:id="0">
    <w:p w14:paraId="094076F0" w14:textId="77777777" w:rsidR="00646A35" w:rsidRDefault="0064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323C9F" w14:paraId="5F5EE20F" w14:textId="77777777" w:rsidTr="09323C9F">
      <w:tc>
        <w:tcPr>
          <w:tcW w:w="3005" w:type="dxa"/>
        </w:tcPr>
        <w:p w14:paraId="7705E2DD" w14:textId="5B61CEE6" w:rsidR="09323C9F" w:rsidRDefault="09323C9F" w:rsidP="09323C9F">
          <w:pPr>
            <w:pStyle w:val="Header"/>
            <w:ind w:left="-115"/>
          </w:pPr>
        </w:p>
      </w:tc>
      <w:tc>
        <w:tcPr>
          <w:tcW w:w="3005" w:type="dxa"/>
        </w:tcPr>
        <w:p w14:paraId="5793BC17" w14:textId="7B05D657" w:rsidR="09323C9F" w:rsidRDefault="09323C9F" w:rsidP="09323C9F">
          <w:pPr>
            <w:pStyle w:val="Header"/>
            <w:jc w:val="center"/>
          </w:pPr>
        </w:p>
      </w:tc>
      <w:tc>
        <w:tcPr>
          <w:tcW w:w="3005" w:type="dxa"/>
        </w:tcPr>
        <w:p w14:paraId="4250B365" w14:textId="2D4CE4CA" w:rsidR="09323C9F" w:rsidRDefault="09323C9F" w:rsidP="09323C9F">
          <w:pPr>
            <w:pStyle w:val="Header"/>
            <w:ind w:right="-115"/>
            <w:jc w:val="right"/>
          </w:pPr>
        </w:p>
      </w:tc>
    </w:tr>
  </w:tbl>
  <w:p w14:paraId="50A646D0" w14:textId="358C32FE" w:rsidR="09323C9F" w:rsidRDefault="09323C9F" w:rsidP="0932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22F"/>
    <w:multiLevelType w:val="hybridMultilevel"/>
    <w:tmpl w:val="004C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903"/>
    <w:multiLevelType w:val="hybridMultilevel"/>
    <w:tmpl w:val="BC5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2C0A"/>
    <w:multiLevelType w:val="hybridMultilevel"/>
    <w:tmpl w:val="0D9EAF64"/>
    <w:lvl w:ilvl="0" w:tplc="4F9C75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64B3E"/>
    <w:multiLevelType w:val="hybridMultilevel"/>
    <w:tmpl w:val="AF7E1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5C48"/>
    <w:multiLevelType w:val="hybridMultilevel"/>
    <w:tmpl w:val="7F14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353C"/>
    <w:multiLevelType w:val="hybridMultilevel"/>
    <w:tmpl w:val="7F14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A6798"/>
    <w:rsid w:val="000179A9"/>
    <w:rsid w:val="000DA469"/>
    <w:rsid w:val="000F482B"/>
    <w:rsid w:val="001D68B8"/>
    <w:rsid w:val="00260077"/>
    <w:rsid w:val="00293418"/>
    <w:rsid w:val="002C619F"/>
    <w:rsid w:val="002D43F0"/>
    <w:rsid w:val="002E3328"/>
    <w:rsid w:val="003153C2"/>
    <w:rsid w:val="0032615A"/>
    <w:rsid w:val="003429EC"/>
    <w:rsid w:val="00376D08"/>
    <w:rsid w:val="003C7CEC"/>
    <w:rsid w:val="003D58E0"/>
    <w:rsid w:val="00427853"/>
    <w:rsid w:val="004A08C6"/>
    <w:rsid w:val="004C7713"/>
    <w:rsid w:val="004F0726"/>
    <w:rsid w:val="005059C9"/>
    <w:rsid w:val="005134F7"/>
    <w:rsid w:val="00527A08"/>
    <w:rsid w:val="00547C20"/>
    <w:rsid w:val="005B7C68"/>
    <w:rsid w:val="00610FBE"/>
    <w:rsid w:val="00620311"/>
    <w:rsid w:val="00633FE7"/>
    <w:rsid w:val="00634E16"/>
    <w:rsid w:val="006421E8"/>
    <w:rsid w:val="00646A35"/>
    <w:rsid w:val="006B699F"/>
    <w:rsid w:val="00786428"/>
    <w:rsid w:val="007C1F39"/>
    <w:rsid w:val="007E0F52"/>
    <w:rsid w:val="007F496D"/>
    <w:rsid w:val="00832C99"/>
    <w:rsid w:val="0088670F"/>
    <w:rsid w:val="00947E6B"/>
    <w:rsid w:val="009B56CD"/>
    <w:rsid w:val="00A22FF7"/>
    <w:rsid w:val="00A41C01"/>
    <w:rsid w:val="00A52BDB"/>
    <w:rsid w:val="00A57564"/>
    <w:rsid w:val="00A811F4"/>
    <w:rsid w:val="00A873AB"/>
    <w:rsid w:val="00AA3EA9"/>
    <w:rsid w:val="00AB098D"/>
    <w:rsid w:val="00AD0BF5"/>
    <w:rsid w:val="00AF541E"/>
    <w:rsid w:val="00B16D7E"/>
    <w:rsid w:val="00B24D7D"/>
    <w:rsid w:val="00B37881"/>
    <w:rsid w:val="00B44CC7"/>
    <w:rsid w:val="00BF0383"/>
    <w:rsid w:val="00C069F8"/>
    <w:rsid w:val="00C2289F"/>
    <w:rsid w:val="00C37ADA"/>
    <w:rsid w:val="00C42E94"/>
    <w:rsid w:val="00C733E7"/>
    <w:rsid w:val="00D1237A"/>
    <w:rsid w:val="00DC75CA"/>
    <w:rsid w:val="00E235CA"/>
    <w:rsid w:val="00E45F22"/>
    <w:rsid w:val="00EB0415"/>
    <w:rsid w:val="00EC2580"/>
    <w:rsid w:val="00F73429"/>
    <w:rsid w:val="00F774EF"/>
    <w:rsid w:val="00F829ED"/>
    <w:rsid w:val="00F9289F"/>
    <w:rsid w:val="00FC2D4E"/>
    <w:rsid w:val="0158F836"/>
    <w:rsid w:val="019CF23D"/>
    <w:rsid w:val="02943A44"/>
    <w:rsid w:val="0388559B"/>
    <w:rsid w:val="04810B13"/>
    <w:rsid w:val="053377D6"/>
    <w:rsid w:val="05CC336A"/>
    <w:rsid w:val="0655802E"/>
    <w:rsid w:val="068B4CCA"/>
    <w:rsid w:val="07F1508F"/>
    <w:rsid w:val="07FCCE1F"/>
    <w:rsid w:val="080C33C1"/>
    <w:rsid w:val="08C32D96"/>
    <w:rsid w:val="08D5A61E"/>
    <w:rsid w:val="08F5A6C7"/>
    <w:rsid w:val="09323C9F"/>
    <w:rsid w:val="09B4D4FC"/>
    <w:rsid w:val="0ACCE8AD"/>
    <w:rsid w:val="0ACDE991"/>
    <w:rsid w:val="0C2F37FC"/>
    <w:rsid w:val="0C4925A7"/>
    <w:rsid w:val="0C68B90E"/>
    <w:rsid w:val="0D59EB50"/>
    <w:rsid w:val="0DEE84AF"/>
    <w:rsid w:val="0EF5BBB1"/>
    <w:rsid w:val="0F560FDB"/>
    <w:rsid w:val="109236A1"/>
    <w:rsid w:val="11262571"/>
    <w:rsid w:val="11ADACC0"/>
    <w:rsid w:val="124ABDE8"/>
    <w:rsid w:val="12748840"/>
    <w:rsid w:val="12C1F5D2"/>
    <w:rsid w:val="12F086EB"/>
    <w:rsid w:val="13855108"/>
    <w:rsid w:val="13C92CD4"/>
    <w:rsid w:val="13F6E4CA"/>
    <w:rsid w:val="14429768"/>
    <w:rsid w:val="1536DAAE"/>
    <w:rsid w:val="15656FFD"/>
    <w:rsid w:val="15C5515F"/>
    <w:rsid w:val="15CF9C93"/>
    <w:rsid w:val="1858C22B"/>
    <w:rsid w:val="189890F9"/>
    <w:rsid w:val="190C28C2"/>
    <w:rsid w:val="19BF2EBF"/>
    <w:rsid w:val="19F4928C"/>
    <w:rsid w:val="1AAFACA4"/>
    <w:rsid w:val="1AE27C75"/>
    <w:rsid w:val="1CF74F95"/>
    <w:rsid w:val="1D03A367"/>
    <w:rsid w:val="1D2C334E"/>
    <w:rsid w:val="1D986714"/>
    <w:rsid w:val="1F26FC85"/>
    <w:rsid w:val="1F9166E4"/>
    <w:rsid w:val="217A7B59"/>
    <w:rsid w:val="242E69F1"/>
    <w:rsid w:val="24CBFFF4"/>
    <w:rsid w:val="25035ED2"/>
    <w:rsid w:val="2573CB26"/>
    <w:rsid w:val="26A590D6"/>
    <w:rsid w:val="271EDEE6"/>
    <w:rsid w:val="273147F5"/>
    <w:rsid w:val="29D4405B"/>
    <w:rsid w:val="29E36094"/>
    <w:rsid w:val="2A12A3DC"/>
    <w:rsid w:val="2A3F36F2"/>
    <w:rsid w:val="2A780D2E"/>
    <w:rsid w:val="2ADAE095"/>
    <w:rsid w:val="2BAE743D"/>
    <w:rsid w:val="2BE2002F"/>
    <w:rsid w:val="2C1438EB"/>
    <w:rsid w:val="2C4EA35B"/>
    <w:rsid w:val="2E627673"/>
    <w:rsid w:val="2ED783D2"/>
    <w:rsid w:val="2EF5336B"/>
    <w:rsid w:val="3029525F"/>
    <w:rsid w:val="30A632DD"/>
    <w:rsid w:val="313FC408"/>
    <w:rsid w:val="32DF87FC"/>
    <w:rsid w:val="35555683"/>
    <w:rsid w:val="358742C9"/>
    <w:rsid w:val="3595BD99"/>
    <w:rsid w:val="368247B9"/>
    <w:rsid w:val="3686FC69"/>
    <w:rsid w:val="36CC3389"/>
    <w:rsid w:val="36DDA60A"/>
    <w:rsid w:val="36F126E4"/>
    <w:rsid w:val="37DEB6AD"/>
    <w:rsid w:val="386803EA"/>
    <w:rsid w:val="3A0BC1D1"/>
    <w:rsid w:val="3B8E69D5"/>
    <w:rsid w:val="3BA79232"/>
    <w:rsid w:val="3C248B75"/>
    <w:rsid w:val="3C48B8ED"/>
    <w:rsid w:val="3CC7ACD4"/>
    <w:rsid w:val="3DD08CCF"/>
    <w:rsid w:val="3E3B02FE"/>
    <w:rsid w:val="407B0355"/>
    <w:rsid w:val="41EA3A91"/>
    <w:rsid w:val="41ECF7B5"/>
    <w:rsid w:val="41FDAB59"/>
    <w:rsid w:val="422808C0"/>
    <w:rsid w:val="43524FED"/>
    <w:rsid w:val="43829B2E"/>
    <w:rsid w:val="44562AFE"/>
    <w:rsid w:val="45191FFE"/>
    <w:rsid w:val="452CA896"/>
    <w:rsid w:val="4531E84D"/>
    <w:rsid w:val="4593A36F"/>
    <w:rsid w:val="4605120E"/>
    <w:rsid w:val="471B83B7"/>
    <w:rsid w:val="4868914C"/>
    <w:rsid w:val="4884D2D0"/>
    <w:rsid w:val="48D2AC58"/>
    <w:rsid w:val="492F1B04"/>
    <w:rsid w:val="49BB9898"/>
    <w:rsid w:val="4AECFB6B"/>
    <w:rsid w:val="4C1A7450"/>
    <w:rsid w:val="4C80E635"/>
    <w:rsid w:val="4CB7A0D9"/>
    <w:rsid w:val="4CC29B08"/>
    <w:rsid w:val="4D405E00"/>
    <w:rsid w:val="4D7FA271"/>
    <w:rsid w:val="4DA3344E"/>
    <w:rsid w:val="4DE83416"/>
    <w:rsid w:val="4E42F963"/>
    <w:rsid w:val="4E4AF58E"/>
    <w:rsid w:val="4F3F04AF"/>
    <w:rsid w:val="4FC166D8"/>
    <w:rsid w:val="51A19ED1"/>
    <w:rsid w:val="51F563E6"/>
    <w:rsid w:val="51F67E33"/>
    <w:rsid w:val="52E4157F"/>
    <w:rsid w:val="5342661A"/>
    <w:rsid w:val="535A6798"/>
    <w:rsid w:val="53E49EFE"/>
    <w:rsid w:val="5444EDF4"/>
    <w:rsid w:val="546B7C9D"/>
    <w:rsid w:val="54C19EC9"/>
    <w:rsid w:val="554B6FE5"/>
    <w:rsid w:val="5673780D"/>
    <w:rsid w:val="56C10C76"/>
    <w:rsid w:val="578B3371"/>
    <w:rsid w:val="57C1DADC"/>
    <w:rsid w:val="57EBF3B1"/>
    <w:rsid w:val="58777A7A"/>
    <w:rsid w:val="596F79A5"/>
    <w:rsid w:val="5B3C0ADE"/>
    <w:rsid w:val="5B46E930"/>
    <w:rsid w:val="5B9E2DAA"/>
    <w:rsid w:val="5D1FDA6C"/>
    <w:rsid w:val="5D6D97B3"/>
    <w:rsid w:val="5E7E89F2"/>
    <w:rsid w:val="5FD61009"/>
    <w:rsid w:val="62371220"/>
    <w:rsid w:val="627985EA"/>
    <w:rsid w:val="63110B7D"/>
    <w:rsid w:val="6320A935"/>
    <w:rsid w:val="640E371D"/>
    <w:rsid w:val="65303640"/>
    <w:rsid w:val="69112555"/>
    <w:rsid w:val="69E84F1D"/>
    <w:rsid w:val="6B0F9F68"/>
    <w:rsid w:val="6BA4EDD8"/>
    <w:rsid w:val="6C12CF29"/>
    <w:rsid w:val="6C1801F3"/>
    <w:rsid w:val="6C6638A9"/>
    <w:rsid w:val="6E2B8CEF"/>
    <w:rsid w:val="6E4DBEB4"/>
    <w:rsid w:val="6ECE3790"/>
    <w:rsid w:val="7186CE72"/>
    <w:rsid w:val="725D2CC8"/>
    <w:rsid w:val="72D35E5A"/>
    <w:rsid w:val="73C4A365"/>
    <w:rsid w:val="73F08633"/>
    <w:rsid w:val="7418BF74"/>
    <w:rsid w:val="756A41C3"/>
    <w:rsid w:val="757B5ADD"/>
    <w:rsid w:val="75AD288B"/>
    <w:rsid w:val="75DCE53A"/>
    <w:rsid w:val="7766D16F"/>
    <w:rsid w:val="77CB6BA4"/>
    <w:rsid w:val="77F60FF6"/>
    <w:rsid w:val="78EDB061"/>
    <w:rsid w:val="792506F2"/>
    <w:rsid w:val="7928D559"/>
    <w:rsid w:val="792B9354"/>
    <w:rsid w:val="79843D49"/>
    <w:rsid w:val="7A1D070C"/>
    <w:rsid w:val="7A540E7E"/>
    <w:rsid w:val="7A94E5B1"/>
    <w:rsid w:val="7B3FF262"/>
    <w:rsid w:val="7CDBC2C3"/>
    <w:rsid w:val="7CE47D04"/>
    <w:rsid w:val="7D0566D5"/>
    <w:rsid w:val="7D9C5FD4"/>
    <w:rsid w:val="7DA0BF4C"/>
    <w:rsid w:val="7E6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E525"/>
  <w15:chartTrackingRefBased/>
  <w15:docId w15:val="{DCB92AA2-A148-4F2F-B733-E27BDF4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1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5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0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0F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7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-registry.admin.cam.ac.uk/examinations-further-guidance-staff/appointment-examiners-and-assessors" TargetMode="External"/><Relationship Id="rId18" Type="http://schemas.openxmlformats.org/officeDocument/2006/relationships/theme" Target="theme/theme1.xml"/><Relationship Id="R1c11630a0f2c462e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.admin.cam.ac.uk/files/weekly_and_hourly_rates_grades_1_to_8_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d041cef0feab4f60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ent-registry.admin.cam.ac.uk/files/payment_calculat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b0234-a5fd-461d-a4ff-c63b14e565f7">
      <UserInfo>
        <DisplayName>Trish Gallagher</DisplayName>
        <AccountId>347</AccountId>
        <AccountType/>
      </UserInfo>
      <UserInfo>
        <DisplayName>Jacopo Chiaro Benincasa</DisplayName>
        <AccountId>13763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E0E60D3AED543BD1499A07E38D788" ma:contentTypeVersion="6" ma:contentTypeDescription="Create a new document." ma:contentTypeScope="" ma:versionID="2c22ea16e31ad309c10e2ca8225d669e">
  <xsd:schema xmlns:xsd="http://www.w3.org/2001/XMLSchema" xmlns:xs="http://www.w3.org/2001/XMLSchema" xmlns:p="http://schemas.microsoft.com/office/2006/metadata/properties" xmlns:ns2="303dddea-b1a1-42be-920b-c5ecb2ba2e70" xmlns:ns3="d05b0234-a5fd-461d-a4ff-c63b14e565f7" targetNamespace="http://schemas.microsoft.com/office/2006/metadata/properties" ma:root="true" ma:fieldsID="89640164743ce97510f17b9c4c511b32" ns2:_="" ns3:_="">
    <xsd:import namespace="303dddea-b1a1-42be-920b-c5ecb2ba2e70"/>
    <xsd:import namespace="d05b0234-a5fd-461d-a4ff-c63b14e56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ddea-b1a1-42be-920b-c5ecb2ba2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0234-a5fd-461d-a4ff-c63b14e565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16F4-968D-4C81-8F92-6D299277A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36C87-89BF-445D-BD8F-D25164AA7890}">
  <ds:schemaRefs>
    <ds:schemaRef ds:uri="http://schemas.microsoft.com/office/2006/metadata/properties"/>
    <ds:schemaRef ds:uri="http://schemas.microsoft.com/office/infopath/2007/PartnerControls"/>
    <ds:schemaRef ds:uri="d05b0234-a5fd-461d-a4ff-c63b14e565f7"/>
  </ds:schemaRefs>
</ds:datastoreItem>
</file>

<file path=customXml/itemProps3.xml><?xml version="1.0" encoding="utf-8"?>
<ds:datastoreItem xmlns:ds="http://schemas.openxmlformats.org/officeDocument/2006/customXml" ds:itemID="{5A9FF431-926D-4551-80BC-4C456EFD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dddea-b1a1-42be-920b-c5ecb2ba2e70"/>
    <ds:schemaRef ds:uri="d05b0234-a5fd-461d-a4ff-c63b14e56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0412A-B597-471D-B824-E5C0B11F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Gallagher</dc:creator>
  <cp:keywords/>
  <dc:description/>
  <cp:lastModifiedBy>Jacopo Chiaro Benincasa</cp:lastModifiedBy>
  <cp:revision>3</cp:revision>
  <dcterms:created xsi:type="dcterms:W3CDTF">2023-04-25T09:40:00Z</dcterms:created>
  <dcterms:modified xsi:type="dcterms:W3CDTF">2023-04-25T09:40:00Z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0x0101007CEE0E60D3AED543BD1499A07E38D788</vt:lpwstr>
  </property>
</Properties>
</file>